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19B6" w14:textId="60AC163B" w:rsidR="00BC6930" w:rsidRPr="004659B2" w:rsidRDefault="00BC6930" w:rsidP="004659B2">
      <w:pPr>
        <w:jc w:val="both"/>
        <w:rPr>
          <w:rStyle w:val="rynqvb"/>
          <w:rFonts w:ascii="Arial" w:hAnsi="Arial" w:cs="Arial"/>
          <w:sz w:val="24"/>
          <w:szCs w:val="24"/>
          <w:lang w:val="es-ES"/>
        </w:rPr>
      </w:pPr>
      <w:r w:rsidRPr="004659B2">
        <w:rPr>
          <w:rStyle w:val="rynqvb"/>
          <w:rFonts w:ascii="Arial" w:hAnsi="Arial" w:cs="Arial"/>
          <w:sz w:val="24"/>
          <w:szCs w:val="24"/>
          <w:lang w:val="es-ES"/>
        </w:rPr>
        <w:t>ESPECIFICACIONES DEL PRODUCTO</w:t>
      </w:r>
    </w:p>
    <w:p w14:paraId="44DDCFDE" w14:textId="7F828944" w:rsidR="00BC6930" w:rsidRPr="004659B2" w:rsidRDefault="00BC6930" w:rsidP="004659B2">
      <w:pPr>
        <w:jc w:val="both"/>
        <w:rPr>
          <w:rStyle w:val="rynqvb"/>
          <w:rFonts w:ascii="Arial" w:hAnsi="Arial" w:cs="Arial"/>
          <w:sz w:val="24"/>
          <w:szCs w:val="24"/>
          <w:lang w:val="es-ES"/>
        </w:rPr>
      </w:pPr>
      <w:r w:rsidRPr="004659B2">
        <w:rPr>
          <w:rStyle w:val="rynqvb"/>
          <w:rFonts w:ascii="Arial" w:hAnsi="Arial" w:cs="Arial"/>
          <w:sz w:val="24"/>
          <w:szCs w:val="24"/>
          <w:lang w:val="es-ES"/>
        </w:rPr>
        <w:t>Producto: Weyermann® Pilsner Malta</w:t>
      </w:r>
    </w:p>
    <w:p w14:paraId="782B9CF1" w14:textId="745ED4BE" w:rsidR="00815F36" w:rsidRPr="004659B2" w:rsidRDefault="00BC6930" w:rsidP="004659B2">
      <w:pPr>
        <w:jc w:val="both"/>
        <w:rPr>
          <w:rStyle w:val="rynqvb"/>
          <w:rFonts w:ascii="Arial" w:hAnsi="Arial" w:cs="Arial"/>
          <w:sz w:val="24"/>
          <w:szCs w:val="24"/>
          <w:lang w:val="es-ES"/>
        </w:rPr>
      </w:pPr>
      <w:r w:rsidRPr="004659B2">
        <w:rPr>
          <w:rStyle w:val="rynqvb"/>
          <w:rFonts w:ascii="Arial" w:hAnsi="Arial" w:cs="Arial"/>
          <w:sz w:val="24"/>
          <w:szCs w:val="24"/>
          <w:lang w:val="es-ES"/>
        </w:rPr>
        <w:t>Hecha de cebada de la mejor calidad para maltear, proporciona la base perfecta para todos los estilos de cerveza, especialmente para las cervezas de baja fermentación. Sensorial: malta-dulce con ligeras notas de miel Actividad enzimática: alta</w:t>
      </w:r>
    </w:p>
    <w:p w14:paraId="5CE8D284" w14:textId="77777777" w:rsidR="00BC6930" w:rsidRPr="004659B2" w:rsidRDefault="00BC6930" w:rsidP="004659B2">
      <w:pPr>
        <w:jc w:val="both"/>
        <w:rPr>
          <w:rStyle w:val="rynqvb"/>
          <w:rFonts w:ascii="Arial" w:hAnsi="Arial" w:cs="Arial"/>
          <w:sz w:val="24"/>
          <w:szCs w:val="24"/>
          <w:lang w:val="es-ES"/>
        </w:rPr>
      </w:pPr>
      <w:r w:rsidRPr="004659B2">
        <w:rPr>
          <w:rStyle w:val="rynqvb"/>
          <w:rFonts w:ascii="Arial" w:hAnsi="Arial" w:cs="Arial"/>
          <w:sz w:val="24"/>
          <w:szCs w:val="24"/>
          <w:lang w:val="es-ES"/>
        </w:rPr>
        <w:t xml:space="preserve">Materia Prima: Cebada de calidad cervecera </w:t>
      </w:r>
    </w:p>
    <w:p w14:paraId="528333C1" w14:textId="77777777" w:rsidR="00BC6930" w:rsidRPr="004659B2" w:rsidRDefault="00BC6930" w:rsidP="004659B2">
      <w:pPr>
        <w:jc w:val="both"/>
        <w:rPr>
          <w:rStyle w:val="rynqvb"/>
          <w:rFonts w:ascii="Arial" w:hAnsi="Arial" w:cs="Arial"/>
          <w:sz w:val="24"/>
          <w:szCs w:val="24"/>
          <w:lang w:val="es-ES"/>
        </w:rPr>
      </w:pPr>
      <w:r w:rsidRPr="004659B2">
        <w:rPr>
          <w:rStyle w:val="rynqvb"/>
          <w:rFonts w:ascii="Arial" w:hAnsi="Arial" w:cs="Arial"/>
          <w:sz w:val="24"/>
          <w:szCs w:val="24"/>
          <w:lang w:val="es-ES"/>
        </w:rPr>
        <w:t xml:space="preserve">Fuente: Alemania, UE </w:t>
      </w:r>
    </w:p>
    <w:p w14:paraId="5E154C05" w14:textId="77777777" w:rsidR="00BC6930" w:rsidRPr="004659B2" w:rsidRDefault="00BC6930" w:rsidP="004659B2">
      <w:pPr>
        <w:jc w:val="both"/>
        <w:rPr>
          <w:rStyle w:val="rynqvb"/>
          <w:rFonts w:ascii="Arial" w:hAnsi="Arial" w:cs="Arial"/>
          <w:sz w:val="24"/>
          <w:szCs w:val="24"/>
          <w:lang w:val="es-ES"/>
        </w:rPr>
      </w:pPr>
      <w:r w:rsidRPr="004659B2">
        <w:rPr>
          <w:rStyle w:val="rynqvb"/>
          <w:rFonts w:ascii="Arial" w:hAnsi="Arial" w:cs="Arial"/>
          <w:sz w:val="24"/>
          <w:szCs w:val="24"/>
          <w:lang w:val="es-ES"/>
        </w:rPr>
        <w:t xml:space="preserve">Ingredientes: Cebada Agua </w:t>
      </w:r>
    </w:p>
    <w:p w14:paraId="41C926DF" w14:textId="77777777" w:rsidR="00BC6930" w:rsidRPr="004659B2" w:rsidRDefault="00BC6930" w:rsidP="004659B2">
      <w:pPr>
        <w:jc w:val="both"/>
        <w:rPr>
          <w:rStyle w:val="rynqvb"/>
          <w:rFonts w:ascii="Arial" w:hAnsi="Arial" w:cs="Arial"/>
          <w:sz w:val="24"/>
          <w:szCs w:val="24"/>
          <w:lang w:val="es-ES"/>
        </w:rPr>
      </w:pPr>
      <w:r w:rsidRPr="004659B2">
        <w:rPr>
          <w:rStyle w:val="rynqvb"/>
          <w:rFonts w:ascii="Arial" w:hAnsi="Arial" w:cs="Arial"/>
          <w:sz w:val="24"/>
          <w:szCs w:val="24"/>
          <w:lang w:val="es-ES"/>
        </w:rPr>
        <w:t xml:space="preserve">Recomendado Cervecería hasta 100 </w:t>
      </w:r>
    </w:p>
    <w:p w14:paraId="4CD8F05C" w14:textId="6C8BA33C" w:rsidR="00BC6930" w:rsidRPr="004659B2" w:rsidRDefault="00BC6930" w:rsidP="004659B2">
      <w:pPr>
        <w:jc w:val="both"/>
        <w:rPr>
          <w:rStyle w:val="rynqvb"/>
          <w:rFonts w:ascii="Arial" w:hAnsi="Arial" w:cs="Arial"/>
          <w:sz w:val="24"/>
          <w:szCs w:val="24"/>
          <w:lang w:val="es-ES"/>
        </w:rPr>
      </w:pPr>
      <w:r w:rsidRPr="004659B2">
        <w:rPr>
          <w:rStyle w:val="rynqvb"/>
          <w:rFonts w:ascii="Arial" w:hAnsi="Arial" w:cs="Arial"/>
          <w:sz w:val="24"/>
          <w:szCs w:val="24"/>
          <w:lang w:val="es-ES"/>
        </w:rPr>
        <w:t>Cantidades: Industria alimentaria según sea necesario</w:t>
      </w:r>
    </w:p>
    <w:p w14:paraId="44021C93" w14:textId="5915760B" w:rsidR="00BC6930" w:rsidRPr="004659B2" w:rsidRDefault="00BC6930" w:rsidP="004659B2">
      <w:pPr>
        <w:jc w:val="both"/>
        <w:rPr>
          <w:rStyle w:val="rynqvb"/>
          <w:rFonts w:ascii="Arial" w:hAnsi="Arial" w:cs="Arial"/>
          <w:sz w:val="24"/>
          <w:szCs w:val="24"/>
          <w:lang w:val="es-ES"/>
        </w:rPr>
      </w:pPr>
      <w:r w:rsidRPr="004659B2">
        <w:rPr>
          <w:rStyle w:val="rynqvb"/>
          <w:rFonts w:ascii="Arial" w:hAnsi="Arial" w:cs="Arial"/>
          <w:sz w:val="24"/>
          <w:szCs w:val="24"/>
          <w:lang w:val="es-ES"/>
        </w:rPr>
        <w:t>Uso: cerveza rubia pálida;</w:t>
      </w:r>
      <w:r w:rsidRPr="004659B2">
        <w:rPr>
          <w:rStyle w:val="hwtze"/>
          <w:rFonts w:ascii="Arial" w:hAnsi="Arial" w:cs="Arial"/>
          <w:sz w:val="24"/>
          <w:szCs w:val="24"/>
          <w:lang w:val="es-ES"/>
        </w:rPr>
        <w:t xml:space="preserve"> </w:t>
      </w:r>
      <w:r w:rsidRPr="004659B2">
        <w:rPr>
          <w:rStyle w:val="rynqvb"/>
          <w:rFonts w:ascii="Arial" w:hAnsi="Arial" w:cs="Arial"/>
          <w:sz w:val="24"/>
          <w:szCs w:val="24"/>
          <w:lang w:val="es-ES"/>
        </w:rPr>
        <w:t>píldoras;</w:t>
      </w:r>
      <w:r w:rsidRPr="004659B2">
        <w:rPr>
          <w:rStyle w:val="hwtze"/>
          <w:rFonts w:ascii="Arial" w:hAnsi="Arial" w:cs="Arial"/>
          <w:sz w:val="24"/>
          <w:szCs w:val="24"/>
          <w:lang w:val="es-ES"/>
        </w:rPr>
        <w:t xml:space="preserve"> </w:t>
      </w:r>
      <w:r w:rsidRPr="004659B2">
        <w:rPr>
          <w:rStyle w:val="rynqvb"/>
          <w:rFonts w:ascii="Arial" w:hAnsi="Arial" w:cs="Arial"/>
          <w:sz w:val="24"/>
          <w:szCs w:val="24"/>
          <w:lang w:val="es-ES"/>
        </w:rPr>
        <w:t>cerveza fuerte;</w:t>
      </w:r>
      <w:r w:rsidRPr="004659B2">
        <w:rPr>
          <w:rStyle w:val="hwtze"/>
          <w:rFonts w:ascii="Arial" w:hAnsi="Arial" w:cs="Arial"/>
          <w:sz w:val="24"/>
          <w:szCs w:val="24"/>
          <w:lang w:val="es-ES"/>
        </w:rPr>
        <w:t xml:space="preserve"> </w:t>
      </w:r>
      <w:r w:rsidRPr="004659B2">
        <w:rPr>
          <w:rStyle w:val="rynqvb"/>
          <w:rFonts w:ascii="Arial" w:hAnsi="Arial" w:cs="Arial"/>
          <w:sz w:val="24"/>
          <w:szCs w:val="24"/>
          <w:lang w:val="es-ES"/>
        </w:rPr>
        <w:t>Cerveza Bock;</w:t>
      </w:r>
      <w:r w:rsidRPr="004659B2">
        <w:rPr>
          <w:rStyle w:val="hwtze"/>
          <w:rFonts w:ascii="Arial" w:hAnsi="Arial" w:cs="Arial"/>
          <w:sz w:val="24"/>
          <w:szCs w:val="24"/>
          <w:lang w:val="es-ES"/>
        </w:rPr>
        <w:t xml:space="preserve"> </w:t>
      </w:r>
      <w:r w:rsidRPr="004659B2">
        <w:rPr>
          <w:rStyle w:val="rynqvb"/>
          <w:rFonts w:ascii="Arial" w:hAnsi="Arial" w:cs="Arial"/>
          <w:sz w:val="24"/>
          <w:szCs w:val="24"/>
          <w:lang w:val="es-ES"/>
        </w:rPr>
        <w:t>cerveza pálida;</w:t>
      </w:r>
      <w:r w:rsidRPr="004659B2">
        <w:rPr>
          <w:rStyle w:val="hwtze"/>
          <w:rFonts w:ascii="Arial" w:hAnsi="Arial" w:cs="Arial"/>
          <w:sz w:val="24"/>
          <w:szCs w:val="24"/>
          <w:lang w:val="es-ES"/>
        </w:rPr>
        <w:t xml:space="preserve"> </w:t>
      </w:r>
      <w:r w:rsidRPr="004659B2">
        <w:rPr>
          <w:rStyle w:val="rynqvb"/>
          <w:rFonts w:ascii="Arial" w:hAnsi="Arial" w:cs="Arial"/>
          <w:sz w:val="24"/>
          <w:szCs w:val="24"/>
          <w:lang w:val="es-ES"/>
        </w:rPr>
        <w:t>India Pale Ale estilo americano;</w:t>
      </w:r>
      <w:r w:rsidRPr="004659B2">
        <w:rPr>
          <w:rStyle w:val="hwtze"/>
          <w:rFonts w:ascii="Arial" w:hAnsi="Arial" w:cs="Arial"/>
          <w:sz w:val="24"/>
          <w:szCs w:val="24"/>
          <w:lang w:val="es-ES"/>
        </w:rPr>
        <w:t xml:space="preserve"> </w:t>
      </w:r>
      <w:r w:rsidRPr="004659B2">
        <w:rPr>
          <w:rStyle w:val="rynqvb"/>
          <w:rFonts w:ascii="Arial" w:hAnsi="Arial" w:cs="Arial"/>
          <w:sz w:val="24"/>
          <w:szCs w:val="24"/>
          <w:lang w:val="es-ES"/>
        </w:rPr>
        <w:t>cerveza fuerte;</w:t>
      </w:r>
      <w:r w:rsidRPr="004659B2">
        <w:rPr>
          <w:rStyle w:val="hwtze"/>
          <w:rFonts w:ascii="Arial" w:hAnsi="Arial" w:cs="Arial"/>
          <w:sz w:val="24"/>
          <w:szCs w:val="24"/>
          <w:lang w:val="es-ES"/>
        </w:rPr>
        <w:t xml:space="preserve"> </w:t>
      </w:r>
      <w:r w:rsidRPr="004659B2">
        <w:rPr>
          <w:rStyle w:val="rynqvb"/>
          <w:rFonts w:ascii="Arial" w:hAnsi="Arial" w:cs="Arial"/>
          <w:sz w:val="24"/>
          <w:szCs w:val="24"/>
          <w:lang w:val="es-ES"/>
        </w:rPr>
        <w:t>Cerveza de trigo;</w:t>
      </w:r>
      <w:r w:rsidRPr="004659B2">
        <w:rPr>
          <w:rStyle w:val="hwtze"/>
          <w:rFonts w:ascii="Arial" w:hAnsi="Arial" w:cs="Arial"/>
          <w:sz w:val="24"/>
          <w:szCs w:val="24"/>
          <w:lang w:val="es-ES"/>
        </w:rPr>
        <w:t xml:space="preserve"> </w:t>
      </w:r>
      <w:r w:rsidRPr="004659B2">
        <w:rPr>
          <w:rStyle w:val="rynqvb"/>
          <w:rFonts w:ascii="Arial" w:hAnsi="Arial" w:cs="Arial"/>
          <w:sz w:val="24"/>
          <w:szCs w:val="24"/>
          <w:lang w:val="es-ES"/>
        </w:rPr>
        <w:t>cerveza amarga</w:t>
      </w:r>
    </w:p>
    <w:p w14:paraId="275E62DB" w14:textId="10724BB5" w:rsidR="00BC6930" w:rsidRPr="004659B2" w:rsidRDefault="00BC6930" w:rsidP="004659B2">
      <w:pPr>
        <w:jc w:val="both"/>
        <w:rPr>
          <w:rStyle w:val="rynqvb"/>
          <w:rFonts w:ascii="Arial" w:hAnsi="Arial" w:cs="Arial"/>
          <w:sz w:val="24"/>
          <w:szCs w:val="24"/>
          <w:lang w:val="es-ES"/>
        </w:rPr>
      </w:pPr>
      <w:r w:rsidRPr="004659B2">
        <w:rPr>
          <w:rStyle w:val="rynqvb"/>
          <w:rFonts w:ascii="Arial" w:hAnsi="Arial" w:cs="Arial"/>
          <w:sz w:val="24"/>
          <w:szCs w:val="24"/>
          <w:lang w:val="es-ES"/>
        </w:rPr>
        <w:t>Los siguientes valores están sujetos a variaciones específicas de la cosecha.</w:t>
      </w:r>
      <w:r w:rsidRPr="004659B2">
        <w:rPr>
          <w:rStyle w:val="hwtze"/>
          <w:rFonts w:ascii="Arial" w:hAnsi="Arial" w:cs="Arial"/>
          <w:sz w:val="24"/>
          <w:szCs w:val="24"/>
          <w:lang w:val="es-ES"/>
        </w:rPr>
        <w:t xml:space="preserve"> </w:t>
      </w:r>
      <w:r w:rsidRPr="004659B2">
        <w:rPr>
          <w:rStyle w:val="rynqvb"/>
          <w:rFonts w:ascii="Arial" w:hAnsi="Arial" w:cs="Arial"/>
          <w:sz w:val="24"/>
          <w:szCs w:val="24"/>
          <w:lang w:val="es-ES"/>
        </w:rPr>
        <w:t>Todos los análisis son realizados por laboratorios independientes certificados según MEBAK "Brew-Technical Analysis Methods".</w:t>
      </w:r>
      <w:r w:rsidRPr="004659B2">
        <w:rPr>
          <w:rStyle w:val="hwtze"/>
          <w:rFonts w:ascii="Arial" w:hAnsi="Arial" w:cs="Arial"/>
          <w:sz w:val="24"/>
          <w:szCs w:val="24"/>
          <w:lang w:val="es-ES"/>
        </w:rPr>
        <w:t xml:space="preserve"> </w:t>
      </w:r>
      <w:r w:rsidRPr="004659B2">
        <w:rPr>
          <w:rStyle w:val="rynqvb"/>
          <w:rFonts w:ascii="Arial" w:hAnsi="Arial" w:cs="Arial"/>
          <w:sz w:val="24"/>
          <w:szCs w:val="24"/>
          <w:lang w:val="es-ES"/>
        </w:rPr>
        <w:t>El color de las maltas caramelo y tostadas se mide con el Hellige Neo-Komparator como método de referencia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99"/>
        <w:gridCol w:w="1425"/>
        <w:gridCol w:w="1417"/>
        <w:gridCol w:w="1553"/>
      </w:tblGrid>
      <w:tr w:rsidR="00BC6930" w:rsidRPr="004659B2" w14:paraId="4E06ECF6" w14:textId="77777777" w:rsidTr="004659B2">
        <w:tc>
          <w:tcPr>
            <w:tcW w:w="4099" w:type="dxa"/>
          </w:tcPr>
          <w:p w14:paraId="4022126B" w14:textId="3373A81C" w:rsidR="00BC6930" w:rsidRPr="004659B2" w:rsidRDefault="00BC6930" w:rsidP="004659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9B2">
              <w:rPr>
                <w:rFonts w:ascii="Arial" w:hAnsi="Arial" w:cs="Arial"/>
                <w:sz w:val="24"/>
                <w:szCs w:val="24"/>
              </w:rPr>
              <w:t xml:space="preserve">Parámetro </w:t>
            </w:r>
          </w:p>
        </w:tc>
        <w:tc>
          <w:tcPr>
            <w:tcW w:w="1425" w:type="dxa"/>
          </w:tcPr>
          <w:p w14:paraId="7629794C" w14:textId="133EF976" w:rsidR="00BC6930" w:rsidRPr="004659B2" w:rsidRDefault="00BC6930" w:rsidP="004659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9B2">
              <w:rPr>
                <w:rFonts w:ascii="Arial" w:hAnsi="Arial" w:cs="Arial"/>
                <w:sz w:val="24"/>
                <w:szCs w:val="24"/>
              </w:rPr>
              <w:t xml:space="preserve">Mínimo </w:t>
            </w:r>
          </w:p>
        </w:tc>
        <w:tc>
          <w:tcPr>
            <w:tcW w:w="1417" w:type="dxa"/>
          </w:tcPr>
          <w:p w14:paraId="301F3E10" w14:textId="0CF0A8E9" w:rsidR="00BC6930" w:rsidRPr="004659B2" w:rsidRDefault="00BC6930" w:rsidP="004659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9B2">
              <w:rPr>
                <w:rFonts w:ascii="Arial" w:hAnsi="Arial" w:cs="Arial"/>
                <w:sz w:val="24"/>
                <w:szCs w:val="24"/>
              </w:rPr>
              <w:t xml:space="preserve">Máximo </w:t>
            </w:r>
          </w:p>
        </w:tc>
        <w:tc>
          <w:tcPr>
            <w:tcW w:w="1553" w:type="dxa"/>
          </w:tcPr>
          <w:p w14:paraId="399CC38E" w14:textId="644E05A8" w:rsidR="00BC6930" w:rsidRPr="004659B2" w:rsidRDefault="00BC6930" w:rsidP="004659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9B2">
              <w:rPr>
                <w:rFonts w:ascii="Arial" w:hAnsi="Arial" w:cs="Arial"/>
                <w:sz w:val="24"/>
                <w:szCs w:val="24"/>
              </w:rPr>
              <w:t xml:space="preserve">Unidad </w:t>
            </w:r>
          </w:p>
        </w:tc>
      </w:tr>
      <w:tr w:rsidR="004659B2" w:rsidRPr="004659B2" w14:paraId="7A38013A" w14:textId="77777777" w:rsidTr="004659B2">
        <w:tc>
          <w:tcPr>
            <w:tcW w:w="4099" w:type="dxa"/>
          </w:tcPr>
          <w:p w14:paraId="7ABD730E" w14:textId="56A517FD" w:rsidR="004659B2" w:rsidRPr="004659B2" w:rsidRDefault="004659B2" w:rsidP="004659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Contenido de humedad</w:t>
            </w:r>
          </w:p>
        </w:tc>
        <w:tc>
          <w:tcPr>
            <w:tcW w:w="1425" w:type="dxa"/>
          </w:tcPr>
          <w:p w14:paraId="50F3CA2F" w14:textId="77777777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17" w:type="dxa"/>
            <w:tcBorders>
              <w:top w:val="nil"/>
              <w:right w:val="single" w:sz="2" w:space="0" w:color="000000"/>
            </w:tcBorders>
          </w:tcPr>
          <w:p w14:paraId="33A04EB5" w14:textId="26E80906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5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27F8433B" w14:textId="7BAE97D7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%</w:t>
            </w:r>
          </w:p>
        </w:tc>
      </w:tr>
      <w:tr w:rsidR="004659B2" w:rsidRPr="004659B2" w14:paraId="3D245378" w14:textId="77777777" w:rsidTr="004659B2">
        <w:tc>
          <w:tcPr>
            <w:tcW w:w="4099" w:type="dxa"/>
          </w:tcPr>
          <w:p w14:paraId="6033190F" w14:textId="7C263E5A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Extracto (sustancia seca)</w:t>
            </w:r>
          </w:p>
        </w:tc>
        <w:tc>
          <w:tcPr>
            <w:tcW w:w="1425" w:type="dxa"/>
          </w:tcPr>
          <w:p w14:paraId="2355345C" w14:textId="56B845E5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80.5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16C67415" w14:textId="77777777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553" w:type="dxa"/>
            <w:tcBorders>
              <w:left w:val="single" w:sz="2" w:space="0" w:color="000000"/>
              <w:right w:val="single" w:sz="4" w:space="0" w:color="auto"/>
            </w:tcBorders>
          </w:tcPr>
          <w:p w14:paraId="5660081E" w14:textId="74040F09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%</w:t>
            </w:r>
          </w:p>
        </w:tc>
      </w:tr>
      <w:tr w:rsidR="004659B2" w:rsidRPr="004659B2" w14:paraId="7956749A" w14:textId="77777777" w:rsidTr="004659B2">
        <w:tc>
          <w:tcPr>
            <w:tcW w:w="4099" w:type="dxa"/>
          </w:tcPr>
          <w:p w14:paraId="51940342" w14:textId="28587E98" w:rsidR="004659B2" w:rsidRPr="004659B2" w:rsidRDefault="004659B2" w:rsidP="004659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Color (EBC)</w:t>
            </w:r>
          </w:p>
        </w:tc>
        <w:tc>
          <w:tcPr>
            <w:tcW w:w="1425" w:type="dxa"/>
          </w:tcPr>
          <w:p w14:paraId="364DD81D" w14:textId="765E4CA9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2.5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6368A1E8" w14:textId="2EAEF729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4.5</w:t>
            </w:r>
          </w:p>
        </w:tc>
        <w:tc>
          <w:tcPr>
            <w:tcW w:w="1553" w:type="dxa"/>
            <w:tcBorders>
              <w:left w:val="single" w:sz="2" w:space="0" w:color="000000"/>
              <w:right w:val="single" w:sz="4" w:space="0" w:color="auto"/>
            </w:tcBorders>
          </w:tcPr>
          <w:p w14:paraId="40182529" w14:textId="5AC1B6E4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EBC</w:t>
            </w:r>
          </w:p>
        </w:tc>
      </w:tr>
      <w:tr w:rsidR="004659B2" w:rsidRPr="004659B2" w14:paraId="3F8082FD" w14:textId="77777777" w:rsidTr="004659B2">
        <w:tc>
          <w:tcPr>
            <w:tcW w:w="4099" w:type="dxa"/>
          </w:tcPr>
          <w:p w14:paraId="04C42891" w14:textId="033D2896" w:rsidR="004659B2" w:rsidRPr="004659B2" w:rsidRDefault="004659B2" w:rsidP="004659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Color (Lovibond)</w:t>
            </w:r>
          </w:p>
        </w:tc>
        <w:tc>
          <w:tcPr>
            <w:tcW w:w="1425" w:type="dxa"/>
          </w:tcPr>
          <w:p w14:paraId="7454F673" w14:textId="1AAFF3DF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1.4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7A7F8752" w14:textId="094C9A6B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2.1</w:t>
            </w:r>
          </w:p>
        </w:tc>
        <w:tc>
          <w:tcPr>
            <w:tcW w:w="1553" w:type="dxa"/>
            <w:tcBorders>
              <w:left w:val="single" w:sz="2" w:space="0" w:color="000000"/>
              <w:right w:val="single" w:sz="4" w:space="0" w:color="auto"/>
            </w:tcBorders>
          </w:tcPr>
          <w:p w14:paraId="09774436" w14:textId="549234F3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Lovibond</w:t>
            </w:r>
          </w:p>
        </w:tc>
      </w:tr>
      <w:tr w:rsidR="004659B2" w:rsidRPr="004659B2" w14:paraId="33BCD55D" w14:textId="77777777" w:rsidTr="004659B2">
        <w:tc>
          <w:tcPr>
            <w:tcW w:w="4099" w:type="dxa"/>
          </w:tcPr>
          <w:p w14:paraId="402E06AA" w14:textId="40656DD9" w:rsidR="004659B2" w:rsidRPr="004659B2" w:rsidRDefault="004659B2" w:rsidP="004659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Color del mosto hervido (EBC)</w:t>
            </w:r>
          </w:p>
        </w:tc>
        <w:tc>
          <w:tcPr>
            <w:tcW w:w="1425" w:type="dxa"/>
          </w:tcPr>
          <w:p w14:paraId="40C29108" w14:textId="6B2B6AE1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4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0342C19E" w14:textId="5ACCA907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5.5</w:t>
            </w:r>
          </w:p>
        </w:tc>
        <w:tc>
          <w:tcPr>
            <w:tcW w:w="1553" w:type="dxa"/>
            <w:tcBorders>
              <w:left w:val="single" w:sz="2" w:space="0" w:color="000000"/>
              <w:right w:val="single" w:sz="4" w:space="0" w:color="auto"/>
            </w:tcBorders>
          </w:tcPr>
          <w:p w14:paraId="330A787B" w14:textId="08062C3E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EBC</w:t>
            </w:r>
          </w:p>
        </w:tc>
      </w:tr>
      <w:tr w:rsidR="004659B2" w:rsidRPr="004659B2" w14:paraId="56D1F82C" w14:textId="77777777" w:rsidTr="004659B2">
        <w:tc>
          <w:tcPr>
            <w:tcW w:w="4099" w:type="dxa"/>
          </w:tcPr>
          <w:p w14:paraId="6E52109F" w14:textId="1AB4781D" w:rsidR="004659B2" w:rsidRPr="004659B2" w:rsidRDefault="004659B2" w:rsidP="004659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Color de mosto hervido (Lovibond)</w:t>
            </w:r>
          </w:p>
        </w:tc>
        <w:tc>
          <w:tcPr>
            <w:tcW w:w="1425" w:type="dxa"/>
          </w:tcPr>
          <w:p w14:paraId="5D549AAC" w14:textId="7BB034C4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2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11BE9C84" w14:textId="787D472F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2.5</w:t>
            </w:r>
          </w:p>
        </w:tc>
        <w:tc>
          <w:tcPr>
            <w:tcW w:w="1553" w:type="dxa"/>
            <w:tcBorders>
              <w:left w:val="single" w:sz="2" w:space="0" w:color="000000"/>
              <w:right w:val="single" w:sz="4" w:space="0" w:color="auto"/>
            </w:tcBorders>
          </w:tcPr>
          <w:p w14:paraId="58873A3C" w14:textId="6FDBF174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Lovibond</w:t>
            </w:r>
          </w:p>
        </w:tc>
      </w:tr>
      <w:tr w:rsidR="004659B2" w:rsidRPr="004659B2" w14:paraId="728DA8C1" w14:textId="77777777" w:rsidTr="004659B2">
        <w:tc>
          <w:tcPr>
            <w:tcW w:w="4099" w:type="dxa"/>
          </w:tcPr>
          <w:p w14:paraId="502A8ACC" w14:textId="69F5B942" w:rsidR="004659B2" w:rsidRPr="004659B2" w:rsidRDefault="004659B2" w:rsidP="004659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Proteína (sustancia seca)</w:t>
            </w:r>
          </w:p>
        </w:tc>
        <w:tc>
          <w:tcPr>
            <w:tcW w:w="1425" w:type="dxa"/>
          </w:tcPr>
          <w:p w14:paraId="0B1B93A6" w14:textId="31E54D4C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9.5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3BFBEB1F" w14:textId="7920C783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12</w:t>
            </w:r>
          </w:p>
        </w:tc>
        <w:tc>
          <w:tcPr>
            <w:tcW w:w="1553" w:type="dxa"/>
            <w:tcBorders>
              <w:left w:val="single" w:sz="2" w:space="0" w:color="000000"/>
              <w:right w:val="single" w:sz="4" w:space="0" w:color="auto"/>
            </w:tcBorders>
          </w:tcPr>
          <w:p w14:paraId="4A77D75B" w14:textId="63CAF26A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%</w:t>
            </w:r>
          </w:p>
        </w:tc>
      </w:tr>
      <w:tr w:rsidR="004659B2" w:rsidRPr="004659B2" w14:paraId="2F7F9B16" w14:textId="77777777" w:rsidTr="004659B2">
        <w:tc>
          <w:tcPr>
            <w:tcW w:w="4099" w:type="dxa"/>
          </w:tcPr>
          <w:p w14:paraId="3F8FE721" w14:textId="42E64163" w:rsidR="004659B2" w:rsidRPr="004659B2" w:rsidRDefault="004659B2" w:rsidP="004659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Índice Kolbach</w:t>
            </w:r>
          </w:p>
        </w:tc>
        <w:tc>
          <w:tcPr>
            <w:tcW w:w="1425" w:type="dxa"/>
          </w:tcPr>
          <w:p w14:paraId="0EA2AFF0" w14:textId="44D32D75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36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12444097" w14:textId="7992ED17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42.5</w:t>
            </w:r>
          </w:p>
        </w:tc>
        <w:tc>
          <w:tcPr>
            <w:tcW w:w="1553" w:type="dxa"/>
            <w:tcBorders>
              <w:left w:val="single" w:sz="2" w:space="0" w:color="000000"/>
              <w:right w:val="single" w:sz="4" w:space="0" w:color="auto"/>
            </w:tcBorders>
          </w:tcPr>
          <w:p w14:paraId="5F6E8F62" w14:textId="7BC2AF56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%</w:t>
            </w:r>
          </w:p>
        </w:tc>
      </w:tr>
      <w:tr w:rsidR="004659B2" w:rsidRPr="004659B2" w14:paraId="66F6EA4C" w14:textId="77777777" w:rsidTr="004659B2">
        <w:tc>
          <w:tcPr>
            <w:tcW w:w="4099" w:type="dxa"/>
          </w:tcPr>
          <w:p w14:paraId="4D6D77D4" w14:textId="76F5EB73" w:rsidR="004659B2" w:rsidRPr="004659B2" w:rsidRDefault="004659B2" w:rsidP="004659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Índice de Hartong 45°C</w:t>
            </w:r>
          </w:p>
        </w:tc>
        <w:tc>
          <w:tcPr>
            <w:tcW w:w="1425" w:type="dxa"/>
          </w:tcPr>
          <w:p w14:paraId="7B9ADBE0" w14:textId="7483BAF7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35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7EF214BC" w14:textId="149E78FB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41</w:t>
            </w:r>
          </w:p>
        </w:tc>
        <w:tc>
          <w:tcPr>
            <w:tcW w:w="1553" w:type="dxa"/>
            <w:tcBorders>
              <w:left w:val="single" w:sz="2" w:space="0" w:color="000000"/>
              <w:right w:val="single" w:sz="4" w:space="0" w:color="auto"/>
            </w:tcBorders>
          </w:tcPr>
          <w:p w14:paraId="281273F3" w14:textId="76CD667B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%</w:t>
            </w:r>
          </w:p>
        </w:tc>
      </w:tr>
      <w:tr w:rsidR="004659B2" w:rsidRPr="004659B2" w14:paraId="69A8CEC1" w14:textId="77777777" w:rsidTr="004659B2">
        <w:tc>
          <w:tcPr>
            <w:tcW w:w="4099" w:type="dxa"/>
          </w:tcPr>
          <w:p w14:paraId="29874837" w14:textId="5764C194" w:rsidR="004659B2" w:rsidRPr="004659B2" w:rsidRDefault="004659B2" w:rsidP="004659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Tiempo de sacarificación</w:t>
            </w:r>
          </w:p>
        </w:tc>
        <w:tc>
          <w:tcPr>
            <w:tcW w:w="1425" w:type="dxa"/>
          </w:tcPr>
          <w:p w14:paraId="45EA4151" w14:textId="6732BB1A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46D8AA60" w14:textId="1E93DEC5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15</w:t>
            </w:r>
          </w:p>
        </w:tc>
        <w:tc>
          <w:tcPr>
            <w:tcW w:w="1553" w:type="dxa"/>
            <w:tcBorders>
              <w:left w:val="single" w:sz="2" w:space="0" w:color="000000"/>
              <w:right w:val="single" w:sz="4" w:space="0" w:color="auto"/>
            </w:tcBorders>
          </w:tcPr>
          <w:p w14:paraId="010CF893" w14:textId="40E180C8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min</w:t>
            </w:r>
          </w:p>
        </w:tc>
      </w:tr>
      <w:tr w:rsidR="004659B2" w:rsidRPr="004659B2" w14:paraId="0A1BBA4B" w14:textId="77777777" w:rsidTr="004659B2">
        <w:tc>
          <w:tcPr>
            <w:tcW w:w="4099" w:type="dxa"/>
          </w:tcPr>
          <w:p w14:paraId="0C10BA87" w14:textId="5CD240D3" w:rsidR="004659B2" w:rsidRPr="004659B2" w:rsidRDefault="004659B2" w:rsidP="004659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Viscosidad (8,6%)</w:t>
            </w:r>
          </w:p>
        </w:tc>
        <w:tc>
          <w:tcPr>
            <w:tcW w:w="1425" w:type="dxa"/>
          </w:tcPr>
          <w:p w14:paraId="78D08802" w14:textId="77777777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72FEB30E" w14:textId="29D5FE24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1.58</w:t>
            </w:r>
          </w:p>
        </w:tc>
        <w:tc>
          <w:tcPr>
            <w:tcW w:w="1553" w:type="dxa"/>
            <w:tcBorders>
              <w:left w:val="single" w:sz="2" w:space="0" w:color="000000"/>
              <w:right w:val="single" w:sz="4" w:space="0" w:color="auto"/>
            </w:tcBorders>
          </w:tcPr>
          <w:p w14:paraId="30280384" w14:textId="26165B7D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m Pa s</w:t>
            </w:r>
          </w:p>
        </w:tc>
      </w:tr>
      <w:tr w:rsidR="004659B2" w:rsidRPr="004659B2" w14:paraId="61B25711" w14:textId="77777777" w:rsidTr="004659B2">
        <w:tc>
          <w:tcPr>
            <w:tcW w:w="4099" w:type="dxa"/>
          </w:tcPr>
          <w:p w14:paraId="64C692D4" w14:textId="70B6B0B8" w:rsidR="004659B2" w:rsidRPr="004659B2" w:rsidRDefault="004659B2" w:rsidP="004659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Friabilidad</w:t>
            </w:r>
          </w:p>
        </w:tc>
        <w:tc>
          <w:tcPr>
            <w:tcW w:w="1425" w:type="dxa"/>
          </w:tcPr>
          <w:p w14:paraId="30FBC913" w14:textId="7CA89149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84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465DB39F" w14:textId="70C36624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553" w:type="dxa"/>
            <w:tcBorders>
              <w:left w:val="single" w:sz="2" w:space="0" w:color="000000"/>
              <w:right w:val="single" w:sz="4" w:space="0" w:color="auto"/>
            </w:tcBorders>
          </w:tcPr>
          <w:p w14:paraId="13C0ACD0" w14:textId="42C0944A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%</w:t>
            </w:r>
          </w:p>
        </w:tc>
      </w:tr>
      <w:tr w:rsidR="004659B2" w:rsidRPr="004659B2" w14:paraId="37F5D23A" w14:textId="77777777" w:rsidTr="004659B2">
        <w:tc>
          <w:tcPr>
            <w:tcW w:w="4099" w:type="dxa"/>
          </w:tcPr>
          <w:p w14:paraId="11C30729" w14:textId="6125AD4F" w:rsidR="004659B2" w:rsidRPr="004659B2" w:rsidRDefault="004659B2" w:rsidP="004659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Granos vidriosos</w:t>
            </w:r>
          </w:p>
        </w:tc>
        <w:tc>
          <w:tcPr>
            <w:tcW w:w="1425" w:type="dxa"/>
          </w:tcPr>
          <w:p w14:paraId="01F67D86" w14:textId="13325CE1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17" w:type="dxa"/>
          </w:tcPr>
          <w:p w14:paraId="683A380C" w14:textId="706232F6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2.5</w:t>
            </w:r>
          </w:p>
        </w:tc>
        <w:tc>
          <w:tcPr>
            <w:tcW w:w="1553" w:type="dxa"/>
          </w:tcPr>
          <w:p w14:paraId="1C85114F" w14:textId="45DCF55A" w:rsidR="004659B2" w:rsidRPr="004659B2" w:rsidRDefault="004659B2" w:rsidP="004659B2">
            <w:pPr>
              <w:jc w:val="both"/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</w:pPr>
            <w:r w:rsidRPr="004659B2">
              <w:rPr>
                <w:rStyle w:val="rynqvb"/>
                <w:rFonts w:ascii="Arial" w:hAnsi="Arial" w:cs="Arial"/>
                <w:sz w:val="24"/>
                <w:szCs w:val="24"/>
                <w:lang w:val="es-ES"/>
              </w:rPr>
              <w:t>%</w:t>
            </w:r>
          </w:p>
        </w:tc>
      </w:tr>
    </w:tbl>
    <w:p w14:paraId="0BCF0CFE" w14:textId="4128FF27" w:rsidR="00BC6930" w:rsidRPr="004659B2" w:rsidRDefault="00BC6930" w:rsidP="004659B2">
      <w:pPr>
        <w:jc w:val="both"/>
        <w:rPr>
          <w:rFonts w:ascii="Arial" w:hAnsi="Arial" w:cs="Arial"/>
          <w:sz w:val="24"/>
          <w:szCs w:val="24"/>
        </w:rPr>
      </w:pPr>
    </w:p>
    <w:p w14:paraId="6B5B4F42" w14:textId="77777777" w:rsidR="004659B2" w:rsidRPr="004659B2" w:rsidRDefault="004659B2" w:rsidP="004659B2">
      <w:pPr>
        <w:jc w:val="both"/>
        <w:rPr>
          <w:rStyle w:val="rynqvb"/>
          <w:rFonts w:ascii="Arial" w:hAnsi="Arial" w:cs="Arial"/>
          <w:sz w:val="24"/>
          <w:szCs w:val="24"/>
          <w:lang w:val="es-ES"/>
        </w:rPr>
      </w:pPr>
      <w:r w:rsidRPr="004659B2">
        <w:rPr>
          <w:rStyle w:val="rynqvb"/>
          <w:rFonts w:ascii="Arial" w:hAnsi="Arial" w:cs="Arial"/>
          <w:sz w:val="24"/>
          <w:szCs w:val="24"/>
          <w:lang w:val="es-ES"/>
        </w:rPr>
        <w:t xml:space="preserve">Unidades de envío: saco de 5 kg/11 lb, saco de 25 kg/55 lb, saco de 50 kg/110 lb, BigBag, a granel </w:t>
      </w:r>
    </w:p>
    <w:p w14:paraId="5CD14EDD" w14:textId="6BF2F09B" w:rsidR="004659B2" w:rsidRPr="004659B2" w:rsidRDefault="004659B2" w:rsidP="004659B2">
      <w:pPr>
        <w:jc w:val="both"/>
        <w:rPr>
          <w:rStyle w:val="rynqvb"/>
          <w:rFonts w:ascii="Arial" w:hAnsi="Arial" w:cs="Arial"/>
          <w:sz w:val="24"/>
          <w:szCs w:val="24"/>
          <w:lang w:val="es-ES"/>
        </w:rPr>
      </w:pPr>
      <w:r w:rsidRPr="004659B2">
        <w:rPr>
          <w:rStyle w:val="rynqvb"/>
          <w:rFonts w:ascii="Arial" w:hAnsi="Arial" w:cs="Arial"/>
          <w:sz w:val="24"/>
          <w:szCs w:val="24"/>
          <w:lang w:val="es-ES"/>
        </w:rPr>
        <w:t>Vida útil: Cuando se almacena en un lugar seco dentro de un rango de temperatura de 0°C a 30°C (32 °F - 86 °F), hay una vida útil mínima de 18 meses si no se abre.</w:t>
      </w:r>
    </w:p>
    <w:p w14:paraId="6B3CA651" w14:textId="77777777" w:rsidR="004659B2" w:rsidRDefault="004659B2" w:rsidP="004659B2">
      <w:pPr>
        <w:jc w:val="both"/>
        <w:rPr>
          <w:rStyle w:val="rynqvb"/>
          <w:rFonts w:ascii="Arial" w:hAnsi="Arial" w:cs="Arial"/>
          <w:sz w:val="24"/>
          <w:szCs w:val="24"/>
          <w:lang w:val="es-ES"/>
        </w:rPr>
      </w:pPr>
      <w:r w:rsidRPr="004659B2">
        <w:rPr>
          <w:rStyle w:val="rynqvb"/>
          <w:rFonts w:ascii="Arial" w:hAnsi="Arial" w:cs="Arial"/>
          <w:sz w:val="24"/>
          <w:szCs w:val="24"/>
          <w:lang w:val="es-ES"/>
        </w:rPr>
        <w:lastRenderedPageBreak/>
        <w:t xml:space="preserve">Por la presente confirmamos que nuestros productos cumplen con todas las leyes y regulaciones alimentarias legales alemanas y europeas vigentes. Esto está asegurado por nuestro Sistema de Gestión de Calidad certificado acc. DIN ISO 9001:2015 y Sistema HACCP acc. Rev. 4/2003. </w:t>
      </w:r>
    </w:p>
    <w:p w14:paraId="01D5DCF7" w14:textId="77777777" w:rsidR="004659B2" w:rsidRDefault="004659B2" w:rsidP="004659B2">
      <w:pPr>
        <w:jc w:val="both"/>
        <w:rPr>
          <w:rStyle w:val="rynqvb"/>
          <w:rFonts w:ascii="Arial" w:hAnsi="Arial" w:cs="Arial"/>
          <w:sz w:val="24"/>
          <w:szCs w:val="24"/>
          <w:lang w:val="es-ES"/>
        </w:rPr>
      </w:pPr>
      <w:r w:rsidRPr="004659B2">
        <w:rPr>
          <w:rStyle w:val="rynqvb"/>
          <w:rFonts w:ascii="Arial" w:hAnsi="Arial" w:cs="Arial"/>
          <w:sz w:val="24"/>
          <w:szCs w:val="24"/>
          <w:lang w:val="es-ES"/>
        </w:rPr>
        <w:t>Nuestra cervecería de cerveza de malta tostada Heinz Weyermann® también cuenta con la certificación acc. FSSC 22000/5. La seguridad alimentaria tiene la máxima prioridad en Weyermann®. Por lo tanto, todas las materias primas están sujetas a un riguroso programa de selección. Esto se determinó en un acuerdo con la German Maltsters´Association (DMB). Las materias primas son analizadas en busca de pesticidas, micotoxinas y metales pesados ​​por un laboratorio acreditado (SGS Fresenius). Por ello, todas las materias primas producidas por Weyermann® cumplen con los Reglamentos (UE) N° 123/2005, 165/2010, 396/2005 y 1881/2006. El contenido de NDMA está por debajo del umbral permitido.</w:t>
      </w:r>
    </w:p>
    <w:p w14:paraId="62056AA9" w14:textId="10C572E8" w:rsidR="004659B2" w:rsidRPr="004659B2" w:rsidRDefault="004659B2" w:rsidP="004659B2">
      <w:pPr>
        <w:jc w:val="both"/>
        <w:rPr>
          <w:rStyle w:val="rynqvb"/>
          <w:rFonts w:ascii="Arial" w:hAnsi="Arial" w:cs="Arial"/>
          <w:sz w:val="24"/>
          <w:szCs w:val="24"/>
          <w:lang w:val="es-ES"/>
        </w:rPr>
      </w:pPr>
      <w:r w:rsidRPr="004659B2">
        <w:rPr>
          <w:rStyle w:val="rynqvb"/>
          <w:rFonts w:ascii="Arial" w:hAnsi="Arial" w:cs="Arial"/>
          <w:sz w:val="24"/>
          <w:szCs w:val="24"/>
          <w:lang w:val="es-ES"/>
        </w:rPr>
        <w:t xml:space="preserve"> El cumplimiento de estos valores límite está garantizado por controles periódicos. Todos los productos Weyermann® cumplen con los Reglamentos (UE) No. 1829/2003, 1830/2003, 49/2000 y 50/2000, y no contienen materias primas, ingredientes o aditivos modificados genéticamente.</w:t>
      </w:r>
    </w:p>
    <w:p w14:paraId="69D15BF4" w14:textId="206F2651" w:rsidR="004659B2" w:rsidRPr="004659B2" w:rsidRDefault="004659B2" w:rsidP="004659B2">
      <w:pPr>
        <w:jc w:val="both"/>
        <w:rPr>
          <w:sz w:val="24"/>
          <w:szCs w:val="24"/>
          <w:lang w:val="es-ES"/>
        </w:rPr>
      </w:pPr>
      <w:r w:rsidRPr="004659B2">
        <w:rPr>
          <w:rStyle w:val="rynqvb"/>
          <w:rFonts w:ascii="Arial" w:hAnsi="Arial" w:cs="Arial"/>
          <w:sz w:val="24"/>
          <w:szCs w:val="24"/>
          <w:lang w:val="es-ES"/>
        </w:rPr>
        <w:t>Para más información: Mich. Weyermann® GmbH &amp; Co. KG Brennerstraße 17-19, 96052 Bam</w:t>
      </w:r>
      <w:r w:rsidRPr="004659B2">
        <w:rPr>
          <w:rStyle w:val="rynqvb"/>
          <w:sz w:val="24"/>
          <w:szCs w:val="24"/>
          <w:lang w:val="es-ES"/>
        </w:rPr>
        <w:t>berg</w:t>
      </w:r>
    </w:p>
    <w:sectPr w:rsidR="004659B2" w:rsidRPr="004659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41C93" w14:textId="77777777" w:rsidR="004A01DB" w:rsidRDefault="004A01DB" w:rsidP="004659B2">
      <w:pPr>
        <w:spacing w:after="0" w:line="240" w:lineRule="auto"/>
      </w:pPr>
      <w:r>
        <w:separator/>
      </w:r>
    </w:p>
  </w:endnote>
  <w:endnote w:type="continuationSeparator" w:id="0">
    <w:p w14:paraId="344EAEBF" w14:textId="77777777" w:rsidR="004A01DB" w:rsidRDefault="004A01DB" w:rsidP="00465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AAA0E" w14:textId="77777777" w:rsidR="004A01DB" w:rsidRDefault="004A01DB" w:rsidP="004659B2">
      <w:pPr>
        <w:spacing w:after="0" w:line="240" w:lineRule="auto"/>
      </w:pPr>
      <w:r>
        <w:separator/>
      </w:r>
    </w:p>
  </w:footnote>
  <w:footnote w:type="continuationSeparator" w:id="0">
    <w:p w14:paraId="469BAFAA" w14:textId="77777777" w:rsidR="004A01DB" w:rsidRDefault="004A01DB" w:rsidP="004659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FD"/>
    <w:rsid w:val="0019387D"/>
    <w:rsid w:val="001D356E"/>
    <w:rsid w:val="003034FD"/>
    <w:rsid w:val="004659B2"/>
    <w:rsid w:val="004A01DB"/>
    <w:rsid w:val="00815F36"/>
    <w:rsid w:val="00BC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AED51A"/>
  <w15:chartTrackingRefBased/>
  <w15:docId w15:val="{1E7A968A-B8BA-4304-BC22-547384DD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ynqvb">
    <w:name w:val="rynqvb"/>
    <w:basedOn w:val="Fuentedeprrafopredeter"/>
    <w:rsid w:val="00BC6930"/>
  </w:style>
  <w:style w:type="character" w:customStyle="1" w:styleId="hwtze">
    <w:name w:val="hwtze"/>
    <w:basedOn w:val="Fuentedeprrafopredeter"/>
    <w:rsid w:val="00BC6930"/>
  </w:style>
  <w:style w:type="table" w:styleId="Tablaconcuadrcula">
    <w:name w:val="Table Grid"/>
    <w:basedOn w:val="Tablanormal"/>
    <w:uiPriority w:val="39"/>
    <w:rsid w:val="00BC6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659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59B2"/>
  </w:style>
  <w:style w:type="paragraph" w:styleId="Piedepgina">
    <w:name w:val="footer"/>
    <w:basedOn w:val="Normal"/>
    <w:link w:val="PiedepginaCar"/>
    <w:uiPriority w:val="99"/>
    <w:unhideWhenUsed/>
    <w:rsid w:val="004659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463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2022-11-30T21:15:00Z</dcterms:created>
  <dcterms:modified xsi:type="dcterms:W3CDTF">2023-01-10T21:48:00Z</dcterms:modified>
</cp:coreProperties>
</file>